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85510" w14:textId="34C21701" w:rsidR="00CE0F91" w:rsidRPr="00CE0F91" w:rsidRDefault="00CE0F91">
      <w:pPr>
        <w:rPr>
          <w:rFonts w:ascii="Calibri" w:hAnsi="Calibri" w:cs="Calibri"/>
          <w:b/>
          <w:bCs/>
          <w:sz w:val="28"/>
          <w:szCs w:val="28"/>
          <w:lang w:val="en-NZ"/>
        </w:rPr>
      </w:pPr>
      <w:r w:rsidRPr="00CE0F91">
        <w:rPr>
          <w:rFonts w:ascii="Calibri" w:hAnsi="Calibri" w:cs="Calibri"/>
          <w:b/>
          <w:bCs/>
          <w:sz w:val="28"/>
          <w:szCs w:val="28"/>
          <w:lang w:val="en-NZ"/>
        </w:rPr>
        <w:t>Asian Health in Aotearoa: Findings from the New Zealand Health Survey 2002 - 2021</w:t>
      </w:r>
    </w:p>
    <w:p w14:paraId="565A3875" w14:textId="77777777" w:rsidR="00CE0F91" w:rsidRDefault="00CE0F91">
      <w:pPr>
        <w:rPr>
          <w:lang w:val="en-NZ"/>
        </w:rPr>
      </w:pPr>
    </w:p>
    <w:p w14:paraId="1EAE89FA" w14:textId="5D7859AD" w:rsidR="00CE0F91" w:rsidRDefault="00CE0F91">
      <w:pPr>
        <w:rPr>
          <w:rFonts w:ascii="Calibri" w:hAnsi="Calibri" w:cs="Calibri"/>
          <w:b/>
          <w:bCs/>
          <w:sz w:val="24"/>
          <w:szCs w:val="24"/>
          <w:lang w:val="en-NZ"/>
        </w:rPr>
      </w:pPr>
      <w:r w:rsidRPr="00CE0F91">
        <w:rPr>
          <w:rFonts w:ascii="Calibri" w:hAnsi="Calibri" w:cs="Calibri"/>
          <w:b/>
          <w:bCs/>
          <w:sz w:val="24"/>
          <w:szCs w:val="24"/>
          <w:lang w:val="en-NZ"/>
        </w:rPr>
        <w:t xml:space="preserve">Summary </w:t>
      </w:r>
    </w:p>
    <w:p w14:paraId="139D9F7C" w14:textId="77777777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BACKGROUND</w:t>
      </w:r>
    </w:p>
    <w:p w14:paraId="2FEDAC93" w14:textId="3B04170E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Aotearoa New Zealand (NZ) is fortunate in having a large ongoing health survey which recruits a representative sample of the resident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 xml:space="preserve">population. Called the New Zealand Health Survey (NZHS) and carried out under the direction of </w:t>
      </w:r>
      <w:proofErr w:type="spellStart"/>
      <w:r w:rsidRPr="00CE0F91">
        <w:rPr>
          <w:rFonts w:ascii="Calibri" w:hAnsi="Calibri" w:cs="Calibri"/>
          <w:sz w:val="24"/>
          <w:szCs w:val="24"/>
          <w:lang w:val="en-NZ"/>
        </w:rPr>
        <w:t>Manatū</w:t>
      </w:r>
      <w:proofErr w:type="spellEnd"/>
      <w:r w:rsidRPr="00CE0F91">
        <w:rPr>
          <w:rFonts w:ascii="Calibri" w:hAnsi="Calibri" w:cs="Calibri"/>
          <w:sz w:val="24"/>
          <w:szCs w:val="24"/>
          <w:lang w:val="en-NZ"/>
        </w:rPr>
        <w:t xml:space="preserve"> Hauora Ministry of Health, it recruits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sufficiently large numbers of participants, both adults and children, to allow for comparisons between the main ethnic groups in NZ. The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survey became continuous in 2011, providing annual updates of the health status of the NZ population.</w:t>
      </w:r>
    </w:p>
    <w:p w14:paraId="338BF280" w14:textId="4D37E5E9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The first NZHS to oversample Asian people was in 2002–03, and the large number of participants allowed for comparisons between three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Asian ethnic groupings in New Zealand: South Asian, Chinese, and Other Asian. Data on Asian participants is now available to examine trends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in health status over a period of almost 20 years.</w:t>
      </w:r>
    </w:p>
    <w:p w14:paraId="0CEE2282" w14:textId="5326607A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This report provides a current picture of the health status of the NZ population using data collected in the 2019–20 and 2020–21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annual survey periods from the following six ethnic groupings: South Asian, Chinese, Other Asian, Māori, Pacific, and European &amp; Other.</w:t>
      </w:r>
    </w:p>
    <w:p w14:paraId="1246217A" w14:textId="524D321E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Comparisons have also been made between South Asian, Chinese, and Other Asian participants to identify any trends in the Asian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community during 2002–03 to 2019–21.</w:t>
      </w:r>
    </w:p>
    <w:p w14:paraId="277F0755" w14:textId="77777777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METHODS</w:t>
      </w:r>
    </w:p>
    <w:p w14:paraId="6E003EEB" w14:textId="7D8ACA76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All health surveys in this report have used a 3-stage, stratified complex sampling method to oversample Māori, Pacific, and Asian participants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to allow for ethnic-specific analyses of all three ethnicities, along with European &amp; Other participants. Participants are weighted by the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inverse of their sampling probability so that collectively those who are surveyed represent the total resident New Zealand population.</w:t>
      </w:r>
    </w:p>
    <w:p w14:paraId="60214619" w14:textId="3F238277" w:rsidR="00CE0F91" w:rsidRPr="00CE0F91" w:rsidRDefault="00CE0F91" w:rsidP="00CE0F91">
      <w:pPr>
        <w:rPr>
          <w:rFonts w:ascii="Calibri" w:hAnsi="Calibri" w:cs="Calibri"/>
          <w:sz w:val="24"/>
          <w:szCs w:val="24"/>
          <w:lang w:val="en-NZ"/>
        </w:rPr>
      </w:pPr>
      <w:r w:rsidRPr="00CE0F91">
        <w:rPr>
          <w:rFonts w:ascii="Calibri" w:hAnsi="Calibri" w:cs="Calibri"/>
          <w:sz w:val="24"/>
          <w:szCs w:val="24"/>
          <w:lang w:val="en-NZ"/>
        </w:rPr>
        <w:t>Face-to-face interviews were carried out in the homes of participants. Information on the following topics is included in this report: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demographic status, health behaviours, health conditions, and health service utilisation. Information was collected for children aged 0–14</w:t>
      </w:r>
      <w:r>
        <w:rPr>
          <w:rFonts w:ascii="Calibri" w:hAnsi="Calibri" w:cs="Calibri"/>
          <w:sz w:val="24"/>
          <w:szCs w:val="24"/>
          <w:lang w:val="en-NZ"/>
        </w:rPr>
        <w:t xml:space="preserve"> </w:t>
      </w:r>
      <w:r w:rsidRPr="00CE0F91">
        <w:rPr>
          <w:rFonts w:ascii="Calibri" w:hAnsi="Calibri" w:cs="Calibri"/>
          <w:sz w:val="24"/>
          <w:szCs w:val="24"/>
          <w:lang w:val="en-NZ"/>
        </w:rPr>
        <w:t>years and adults aged ≥15 years.</w:t>
      </w:r>
    </w:p>
    <w:sectPr w:rsidR="00CE0F91" w:rsidRPr="00CE0F91" w:rsidSect="00D43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91"/>
    <w:rsid w:val="00286600"/>
    <w:rsid w:val="003742F6"/>
    <w:rsid w:val="003917D7"/>
    <w:rsid w:val="005F44CB"/>
    <w:rsid w:val="00655576"/>
    <w:rsid w:val="007C72D1"/>
    <w:rsid w:val="00CE0F91"/>
    <w:rsid w:val="00D4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F967E"/>
  <w15:chartTrackingRefBased/>
  <w15:docId w15:val="{1C25E7E4-FEF3-4E0E-A497-296A5979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1780</Characters>
  <Application>Microsoft Office Word</Application>
  <DocSecurity>0</DocSecurity>
  <Lines>30</Lines>
  <Paragraphs>10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Ekta Kumar</dc:creator>
  <cp:keywords/>
  <dc:description/>
  <cp:lastModifiedBy>Ekta Kumar</cp:lastModifiedBy>
  <cp:revision>1</cp:revision>
  <dcterms:created xsi:type="dcterms:W3CDTF">2024-09-03T21:56:00Z</dcterms:created>
  <dcterms:modified xsi:type="dcterms:W3CDTF">2024-09-03T22:01:00Z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0c3d6af7-3153-45e9-8d22-b7c357de8f2c</vt:lpwstr>
  </property>
</Properties>
</file>